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41D9C" w14:textId="62D14A59" w:rsidR="005B5BB9" w:rsidRDefault="0073548C">
      <w:pPr>
        <w:pStyle w:val="Heading1"/>
      </w:pPr>
      <w:r>
        <w:t>Progression of Skills in Phase One Phonics at Ellergreen Nursery School and Childcare Centre.</w:t>
      </w:r>
    </w:p>
    <w:p w14:paraId="38E0BD38" w14:textId="77777777" w:rsidR="005B5BB9" w:rsidRDefault="0073548C">
      <w:r>
        <w:t xml:space="preserve">Phase One of the Letters and Sounds framework is an essential component in the foundation of early literacy development, strongly focusing on enhancing children's speaking and listening skills, which are pivotal as they prepare to tackle the more structured phonic work initiating in Phase Two. This introductory phase aims to immerse young learners in a rich auditory environment, where they are encouraged to attune to the </w:t>
      </w:r>
      <w:proofErr w:type="gramStart"/>
      <w:r>
        <w:t>myriad</w:t>
      </w:r>
      <w:proofErr w:type="gramEnd"/>
      <w:r>
        <w:t xml:space="preserve"> of sounds in their surroundings. Engaging children in diverse sound-related activities not only plants the seeds for oral blending and segmenting—invaluable skills for decoding words and understanding written texts—but also nurtures their overall linguistic confidence, setting them on a path to becoming proficient readers and communicators.</w:t>
      </w:r>
    </w:p>
    <w:p w14:paraId="20C7D521" w14:textId="77777777" w:rsidR="005B5BB9" w:rsidRDefault="0073548C">
      <w:r>
        <w:t xml:space="preserve">The intention behind Phase One phonics is to provide a broad, comprehensive approach that elevates children's abilities to discriminate among various sounds. Developing listening skills is paramount; hence, the activities are designed to stimulate the auditory system while integrating opportunities for social interaction and language use. </w:t>
      </w:r>
      <w:proofErr w:type="spellStart"/>
      <w:r>
        <w:t>Socialisation</w:t>
      </w:r>
      <w:proofErr w:type="spellEnd"/>
      <w:r>
        <w:t xml:space="preserve"> through play is a crucial element here, as children learn to share their thoughts, collaborate, and develop core language skills within a supportive environment. This creative exploration of sound lays a solid framework for later reading and writing capabilities, thereby fostering early literacy development.</w:t>
      </w:r>
    </w:p>
    <w:p w14:paraId="2D4806EA" w14:textId="77777777" w:rsidR="005B5BB9" w:rsidRDefault="0073548C">
      <w:r>
        <w:t xml:space="preserve">Throughout the academic year, teachers will revisit the seven aspects of Phase One phonics during the Autumn, Spring, and </w:t>
      </w:r>
      <w:proofErr w:type="gramStart"/>
      <w:r>
        <w:t>Summer</w:t>
      </w:r>
      <w:proofErr w:type="gramEnd"/>
      <w:r>
        <w:t xml:space="preserve"> terms, ensuring that children have multiple opportunities to reinforce their learning over time. This approach is crucial in solidifying the foundational skills necessary for more advanced literacy. It allows teachers to gauge individual progress and adapt activities to suit the varying needs of each child, promoting an inclusive learning environment that celebrates diversity and encourages collaborative exploration. Below is </w:t>
      </w:r>
      <w:proofErr w:type="gramStart"/>
      <w:r>
        <w:t>a</w:t>
      </w:r>
      <w:proofErr w:type="gramEnd"/>
      <w:r>
        <w:t xml:space="preserve"> overview of the progression of skills within Phase One phonics at Ellergr</w:t>
      </w:r>
      <w:r>
        <w:t xml:space="preserve">een Nursery School, meticulously structured into </w:t>
      </w:r>
      <w:proofErr w:type="gramStart"/>
      <w:r>
        <w:t>the seven</w:t>
      </w:r>
      <w:proofErr w:type="gramEnd"/>
      <w:r>
        <w:t xml:space="preserve"> aspects, along with detailed objectives for each.</w:t>
      </w:r>
    </w:p>
    <w:tbl>
      <w:tblPr>
        <w:tblW w:w="0" w:type="auto"/>
        <w:tblLayout w:type="fixed"/>
        <w:tblCellMar>
          <w:top w:w="120" w:type="dxa"/>
          <w:left w:w="120" w:type="dxa"/>
          <w:bottom w:w="120" w:type="dxa"/>
          <w:right w:w="120" w:type="dxa"/>
        </w:tblCellMar>
        <w:tblLook w:val="04A0" w:firstRow="1" w:lastRow="0" w:firstColumn="1" w:lastColumn="0" w:noHBand="0" w:noVBand="1"/>
      </w:tblPr>
      <w:tblGrid>
        <w:gridCol w:w="1133"/>
        <w:gridCol w:w="1985"/>
        <w:gridCol w:w="10837"/>
      </w:tblGrid>
      <w:tr w:rsidR="005B5BB9" w14:paraId="6CE08310" w14:textId="77777777" w:rsidTr="0073548C">
        <w:trPr>
          <w:tblHeader/>
        </w:trPr>
        <w:tc>
          <w:tcPr>
            <w:tcW w:w="1133" w:type="dxa"/>
            <w:tcBorders>
              <w:top w:val="single" w:sz="1" w:space="0" w:color="000000"/>
              <w:left w:val="single" w:sz="1" w:space="0" w:color="000000"/>
              <w:bottom w:val="single" w:sz="2" w:space="0" w:color="000000"/>
              <w:right w:val="single" w:sz="1" w:space="0" w:color="000000"/>
            </w:tcBorders>
            <w:shd w:val="clear" w:color="auto" w:fill="F3F3F3"/>
            <w:noWrap/>
          </w:tcPr>
          <w:p w14:paraId="3F3E1420" w14:textId="77777777" w:rsidR="005B5BB9" w:rsidRDefault="0073548C">
            <w:pPr>
              <w:jc w:val="center"/>
            </w:pPr>
            <w:r>
              <w:rPr>
                <w:b/>
                <w:bCs/>
              </w:rPr>
              <w:lastRenderedPageBreak/>
              <w:t>Aspect</w:t>
            </w:r>
          </w:p>
        </w:tc>
        <w:tc>
          <w:tcPr>
            <w:tcW w:w="1985" w:type="dxa"/>
            <w:tcBorders>
              <w:top w:val="single" w:sz="1" w:space="0" w:color="000000"/>
              <w:left w:val="single" w:sz="1" w:space="0" w:color="000000"/>
              <w:bottom w:val="single" w:sz="2" w:space="0" w:color="000000"/>
              <w:right w:val="single" w:sz="1" w:space="0" w:color="000000"/>
            </w:tcBorders>
            <w:shd w:val="clear" w:color="auto" w:fill="F3F3F3"/>
            <w:noWrap/>
          </w:tcPr>
          <w:p w14:paraId="4B96F6A7" w14:textId="77777777" w:rsidR="005B5BB9" w:rsidRDefault="0073548C">
            <w:pPr>
              <w:jc w:val="center"/>
            </w:pPr>
            <w:r>
              <w:rPr>
                <w:b/>
                <w:bCs/>
              </w:rPr>
              <w:t>Description</w:t>
            </w:r>
          </w:p>
        </w:tc>
        <w:tc>
          <w:tcPr>
            <w:tcW w:w="10837" w:type="dxa"/>
            <w:tcBorders>
              <w:top w:val="single" w:sz="1" w:space="0" w:color="000000"/>
              <w:left w:val="single" w:sz="1" w:space="0" w:color="000000"/>
              <w:bottom w:val="single" w:sz="2" w:space="0" w:color="000000"/>
              <w:right w:val="single" w:sz="1" w:space="0" w:color="000000"/>
            </w:tcBorders>
            <w:shd w:val="clear" w:color="auto" w:fill="F3F3F3"/>
            <w:noWrap/>
          </w:tcPr>
          <w:p w14:paraId="79813523" w14:textId="77777777" w:rsidR="005B5BB9" w:rsidRDefault="0073548C">
            <w:pPr>
              <w:jc w:val="center"/>
            </w:pPr>
            <w:r>
              <w:rPr>
                <w:b/>
                <w:bCs/>
              </w:rPr>
              <w:t>Objectives</w:t>
            </w:r>
          </w:p>
        </w:tc>
      </w:tr>
      <w:tr w:rsidR="005B5BB9" w14:paraId="43026A09"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7C10E6AF" w14:textId="77777777" w:rsidR="005B5BB9" w:rsidRDefault="0073548C">
            <w:r>
              <w:t>Aspect 1</w:t>
            </w:r>
          </w:p>
        </w:tc>
        <w:tc>
          <w:tcPr>
            <w:tcW w:w="1985" w:type="dxa"/>
            <w:tcBorders>
              <w:top w:val="single" w:sz="1" w:space="0" w:color="000000"/>
              <w:left w:val="single" w:sz="1" w:space="0" w:color="000000"/>
              <w:bottom w:val="single" w:sz="1" w:space="0" w:color="000000"/>
              <w:right w:val="single" w:sz="1" w:space="0" w:color="000000"/>
            </w:tcBorders>
            <w:noWrap/>
          </w:tcPr>
          <w:p w14:paraId="2F6EBABE" w14:textId="77777777" w:rsidR="005B5BB9" w:rsidRDefault="0073548C">
            <w:r>
              <w:t>General sound discrimination – Environmental sounds</w:t>
            </w:r>
          </w:p>
        </w:tc>
        <w:tc>
          <w:tcPr>
            <w:tcW w:w="10837" w:type="dxa"/>
            <w:tcBorders>
              <w:top w:val="single" w:sz="1" w:space="0" w:color="000000"/>
              <w:left w:val="single" w:sz="1" w:space="0" w:color="000000"/>
              <w:bottom w:val="single" w:sz="1" w:space="0" w:color="000000"/>
              <w:right w:val="single" w:sz="1" w:space="0" w:color="000000"/>
            </w:tcBorders>
            <w:noWrap/>
          </w:tcPr>
          <w:p w14:paraId="45FEC58B" w14:textId="77777777" w:rsidR="005B5BB9" w:rsidRDefault="0073548C">
            <w:r>
              <w:t xml:space="preserve">- Facilitate focused listening sessions where children identify a journey of outdoor sounds, such as chirping birds, rustling leaves, distant traffic, and various weather sounds like rain or wind. Such activities are designed to help them develop a profound appreciation for the natural world while enhancing their auditory perceptiveness to nuanced sound variations that may go unnoticed in daily life. Consider incorporating storytelling about natural phenomena to connect children's auditory experiences with </w:t>
            </w:r>
            <w:r>
              <w:t>broader curriculum themes.</w:t>
            </w:r>
          </w:p>
          <w:p w14:paraId="59ED3A04" w14:textId="77777777" w:rsidR="005B5BB9" w:rsidRDefault="0073548C">
            <w:r>
              <w:t xml:space="preserve">- </w:t>
            </w:r>
            <w:proofErr w:type="spellStart"/>
            <w:r>
              <w:t>Organise</w:t>
            </w:r>
            <w:proofErr w:type="spellEnd"/>
            <w:r>
              <w:t xml:space="preserve"> structured and unstructured play sessions that encourage children to identify a variety of indoor sounds, which may include noises from household appliances, the rustle of pages turning, or the faint hum of conversations. Through engaging in sound scavenger hunts, where students must find and note down specific sounds they hear, and observational games, children learn to relate sounds to their sources, elevating their auditory awareness and enlivening vocabulary with descriptive language that perta</w:t>
            </w:r>
            <w:r>
              <w:t>ins to their everyday experiences.</w:t>
            </w:r>
          </w:p>
          <w:p w14:paraId="7CD78118" w14:textId="77777777" w:rsidR="005B5BB9" w:rsidRDefault="0073548C">
            <w:r>
              <w:t xml:space="preserve">- Introduce an interactive sounds lotto game where children must listen to and </w:t>
            </w:r>
            <w:proofErr w:type="spellStart"/>
            <w:r>
              <w:t>recognise</w:t>
            </w:r>
            <w:proofErr w:type="spellEnd"/>
            <w:r>
              <w:t xml:space="preserve"> a variety of environmental sounds. This game, enhanced with visuals and sound samples, reinforces auditory memory and encourages collaboration as they work together to identify and mark off sounds on their boards. This group activity not only promotes listening comprehension but fosters a sense of community as children celebrate their successes together. Reinforcement can be made through discussions about the characteristics of each sound, enabling children to articulate their thought processes.</w:t>
            </w:r>
          </w:p>
          <w:p w14:paraId="72806728" w14:textId="77777777" w:rsidR="005B5BB9" w:rsidRDefault="0073548C">
            <w:r>
              <w:t xml:space="preserve">- Conduct a captivating sound guessing game whereby children attempt to identify what is inside a container solely based on the sounds it produces. This involves using everyday objects like keys or marbles to produce distinctive sounds when shaken or moved. Incorporating everyday objects adds a layer of familiarity, nurturing both critical thinking skills and sensory engagement. Following the activity, encourage discussions </w:t>
            </w:r>
            <w:r>
              <w:lastRenderedPageBreak/>
              <w:t>around the context of the sounds, prompting children to articulate their thoughts about the source and significance of each sound along with associating it with an emotion or memory, thus fostering personal connectivity to sound.</w:t>
            </w:r>
          </w:p>
        </w:tc>
      </w:tr>
      <w:tr w:rsidR="005B5BB9" w14:paraId="65CEB826"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4EAAA287" w14:textId="77777777" w:rsidR="005B5BB9" w:rsidRDefault="0073548C">
            <w:r>
              <w:lastRenderedPageBreak/>
              <w:t>Aspect 2</w:t>
            </w:r>
          </w:p>
        </w:tc>
        <w:tc>
          <w:tcPr>
            <w:tcW w:w="1985" w:type="dxa"/>
            <w:tcBorders>
              <w:top w:val="single" w:sz="1" w:space="0" w:color="000000"/>
              <w:left w:val="single" w:sz="1" w:space="0" w:color="000000"/>
              <w:bottom w:val="single" w:sz="1" w:space="0" w:color="000000"/>
              <w:right w:val="single" w:sz="1" w:space="0" w:color="000000"/>
            </w:tcBorders>
            <w:noWrap/>
          </w:tcPr>
          <w:p w14:paraId="0329E4EC" w14:textId="77777777" w:rsidR="005B5BB9" w:rsidRDefault="0073548C">
            <w:r>
              <w:t>General sound discrimination – Instrumental sounds</w:t>
            </w:r>
          </w:p>
        </w:tc>
        <w:tc>
          <w:tcPr>
            <w:tcW w:w="10837" w:type="dxa"/>
            <w:tcBorders>
              <w:top w:val="single" w:sz="1" w:space="0" w:color="000000"/>
              <w:left w:val="single" w:sz="1" w:space="0" w:color="000000"/>
              <w:bottom w:val="single" w:sz="1" w:space="0" w:color="000000"/>
              <w:right w:val="single" w:sz="1" w:space="0" w:color="000000"/>
            </w:tcBorders>
            <w:noWrap/>
          </w:tcPr>
          <w:p w14:paraId="793FD6F8" w14:textId="77777777" w:rsidR="005B5BB9" w:rsidRDefault="0073548C">
            <w:r>
              <w:t xml:space="preserve">- Lead innovative listening exercises where children keenly distinguish between different musical instruments being played. This can include guiding them in exploring the sound qualities of instruments—string, percussion, and wind—by inviting them to close their eyes and </w:t>
            </w:r>
            <w:proofErr w:type="spellStart"/>
            <w:r>
              <w:t>visualise</w:t>
            </w:r>
            <w:proofErr w:type="spellEnd"/>
            <w:r>
              <w:t xml:space="preserve"> where the sounds might come from. Providing a wide variety of ensemble soundscapes allows children to develop their sound discrimination skills, deepening their appreciation for the vibrancy and emotional impact of music.</w:t>
            </w:r>
          </w:p>
          <w:p w14:paraId="2126F2DE" w14:textId="77777777" w:rsidR="005B5BB9" w:rsidRDefault="0073548C">
            <w:r>
              <w:t>- Provide hands-on experiences where children use rhythm sticks, tambourines, and maracas to produce an array of sounds on different surfaces—tables, floors, and even on their bodies. This activity not only encourages creative expression but enables them to explore sound production in an experiential manner. Intentionally designing conjunctive sound activities, such as collaboratively creating a class rhythm ensemble, can enhance togetherness while promoting both rhythmical understanding and coordination in</w:t>
            </w:r>
            <w:r>
              <w:t xml:space="preserve"> a communal setting.</w:t>
            </w:r>
          </w:p>
          <w:p w14:paraId="6E3FE21F" w14:textId="77777777" w:rsidR="005B5BB9" w:rsidRDefault="0073548C">
            <w:r>
              <w:t>- Introduce rhythmic games where children's memories will be challenged as they attempt to replicate complex rhythms first performed by the teacher. Building upon this skill, children can be encouraged to create their own rhythms that can be shared and interpreted by their peers. This dynamic interplay encourages not only auditory memory but also fosters physical coordination and teamwork within a lively musical context, ultimately creating opportunities for children to pair sounds with movements, further l</w:t>
            </w:r>
            <w:r>
              <w:t>ayering their comprehension.</w:t>
            </w:r>
          </w:p>
          <w:p w14:paraId="23D2B74D" w14:textId="77777777" w:rsidR="005B5BB9" w:rsidRDefault="0073548C">
            <w:r>
              <w:lastRenderedPageBreak/>
              <w:t>- Encourage children to engage in simple performances, where they present short pieces using instruments they are comfortable with. This can be framed as a ‘show and tell’ experience, allowing them to express their creativity and share their musical evolution with classmates. Through a structured format that provides outlets for both solo and group work, children can develop their self-confidence in presenting their ideas. The classroom can transform into a vibrant hub of creativity and expression as childr</w:t>
            </w:r>
            <w:r>
              <w:t>en learn the power of collaboration and mutual support.</w:t>
            </w:r>
          </w:p>
        </w:tc>
      </w:tr>
      <w:tr w:rsidR="005B5BB9" w14:paraId="77121825"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467B65F7" w14:textId="77777777" w:rsidR="005B5BB9" w:rsidRDefault="0073548C">
            <w:r>
              <w:lastRenderedPageBreak/>
              <w:t>Aspect 3</w:t>
            </w:r>
          </w:p>
        </w:tc>
        <w:tc>
          <w:tcPr>
            <w:tcW w:w="1985" w:type="dxa"/>
            <w:tcBorders>
              <w:top w:val="single" w:sz="1" w:space="0" w:color="000000"/>
              <w:left w:val="single" w:sz="1" w:space="0" w:color="000000"/>
              <w:bottom w:val="single" w:sz="1" w:space="0" w:color="000000"/>
              <w:right w:val="single" w:sz="1" w:space="0" w:color="000000"/>
            </w:tcBorders>
            <w:noWrap/>
          </w:tcPr>
          <w:p w14:paraId="07039E9C" w14:textId="77777777" w:rsidR="005B5BB9" w:rsidRDefault="0073548C">
            <w:r>
              <w:t>General sound discrimination – Body percussion</w:t>
            </w:r>
          </w:p>
        </w:tc>
        <w:tc>
          <w:tcPr>
            <w:tcW w:w="10837" w:type="dxa"/>
            <w:tcBorders>
              <w:top w:val="single" w:sz="1" w:space="0" w:color="000000"/>
              <w:left w:val="single" w:sz="1" w:space="0" w:color="000000"/>
              <w:bottom w:val="single" w:sz="1" w:space="0" w:color="000000"/>
              <w:right w:val="single" w:sz="1" w:space="0" w:color="000000"/>
            </w:tcBorders>
            <w:noWrap/>
          </w:tcPr>
          <w:p w14:paraId="30E86D09" w14:textId="77777777" w:rsidR="005B5BB9" w:rsidRDefault="0073548C">
            <w:r>
              <w:t xml:space="preserve">- Arrange engaging activities around body percussion where children are guided to independently explore sound-making using their bodies—clapping, stomping, and snapping fingers, creating a wide variety of rhythms. By providing different contexts—such as quiet venues for gentle rhythms or louder ones for energetic beats—children will learn to navigate the concept of volume while </w:t>
            </w:r>
            <w:proofErr w:type="spellStart"/>
            <w:r>
              <w:t>recognising</w:t>
            </w:r>
            <w:proofErr w:type="spellEnd"/>
            <w:r>
              <w:t xml:space="preserve"> the emotional qualities attached to various sounds, thus enhancing their understanding of rhythm within an expressive context.</w:t>
            </w:r>
          </w:p>
          <w:p w14:paraId="5FABCC1B" w14:textId="77777777" w:rsidR="005B5BB9" w:rsidRDefault="0073548C">
            <w:r>
              <w:t>- Encourage children to actively identify and discuss everyday body sounds (e.g., snoring, laughing, or clapping). This can be supported by scaffolding group discussions on how body sounds relate to emotions and social interactions in different contexts. What does a laugh communicate compared to a sigh? Engaging children in reflections on these contrasts will deepen their understanding of non-verbal communication and help them develop empathetic skills through active listening and observance.</w:t>
            </w:r>
          </w:p>
          <w:p w14:paraId="5CC21FD8" w14:textId="77777777" w:rsidR="005B5BB9" w:rsidRDefault="0073548C">
            <w:r>
              <w:t xml:space="preserve">- Prompt children to suggest various scenarios for when it may be appropriate to be quiet or noisy, facilitating critical discussions on social </w:t>
            </w:r>
            <w:proofErr w:type="spellStart"/>
            <w:r>
              <w:t>behaviour</w:t>
            </w:r>
            <w:proofErr w:type="spellEnd"/>
            <w:r>
              <w:t xml:space="preserve"> and norms in different contexts. Teachers might encourage role-playing activities where children enact how they would respond in different social situations. </w:t>
            </w:r>
            <w:r>
              <w:lastRenderedPageBreak/>
              <w:t>These activities promote healthy dialogues around expectations and boundaries, laying the groundwork for positive peer interactions.</w:t>
            </w:r>
          </w:p>
          <w:p w14:paraId="1E4C7ADC" w14:textId="77777777" w:rsidR="005B5BB9" w:rsidRDefault="0073548C">
            <w:r>
              <w:t>- Incorporate rhythmic actions during storytelling sessions or songs, where the actions correlate with the story's context to reinforce memory through movement. Inviting children to create their own body movement interpretations of stories can enrich their imaginative engagement and promote literacy through a kinesthetic approach to learning. This can be further enhanced by connecting the movements to narrative themes, giving children a multidimensional understanding of stories.</w:t>
            </w:r>
          </w:p>
        </w:tc>
      </w:tr>
      <w:tr w:rsidR="005B5BB9" w14:paraId="1EBDE387"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0C353590" w14:textId="77777777" w:rsidR="005B5BB9" w:rsidRDefault="0073548C">
            <w:r>
              <w:lastRenderedPageBreak/>
              <w:t>Aspect 4</w:t>
            </w:r>
          </w:p>
        </w:tc>
        <w:tc>
          <w:tcPr>
            <w:tcW w:w="1985" w:type="dxa"/>
            <w:tcBorders>
              <w:top w:val="single" w:sz="1" w:space="0" w:color="000000"/>
              <w:left w:val="single" w:sz="1" w:space="0" w:color="000000"/>
              <w:bottom w:val="single" w:sz="1" w:space="0" w:color="000000"/>
              <w:right w:val="single" w:sz="1" w:space="0" w:color="000000"/>
            </w:tcBorders>
            <w:noWrap/>
          </w:tcPr>
          <w:p w14:paraId="70547B00" w14:textId="77777777" w:rsidR="005B5BB9" w:rsidRDefault="0073548C">
            <w:r>
              <w:t>Rhythm and rhyme</w:t>
            </w:r>
          </w:p>
        </w:tc>
        <w:tc>
          <w:tcPr>
            <w:tcW w:w="10837" w:type="dxa"/>
            <w:tcBorders>
              <w:top w:val="single" w:sz="1" w:space="0" w:color="000000"/>
              <w:left w:val="single" w:sz="1" w:space="0" w:color="000000"/>
              <w:bottom w:val="single" w:sz="1" w:space="0" w:color="000000"/>
              <w:right w:val="single" w:sz="1" w:space="0" w:color="000000"/>
            </w:tcBorders>
            <w:noWrap/>
          </w:tcPr>
          <w:p w14:paraId="73FF96D9" w14:textId="77777777" w:rsidR="005B5BB9" w:rsidRDefault="0073548C">
            <w:r>
              <w:t>- Integrate a multitude of rhyming activities, such as structured rhyming bingo, interactive poetry sessions, and group storytelling aimed at enhancing children's phonological awareness through enjoyable, engaging practices. These playful explorations of language not only foster creativity but also invite children to engage deeply with the sounds of words, prompting them to share their rhymes and collaborate in crafting short poetic stories together, thereby enhancing their confidence in language play.</w:t>
            </w:r>
          </w:p>
          <w:p w14:paraId="2F4AF9BF" w14:textId="77777777" w:rsidR="005B5BB9" w:rsidRDefault="0073548C">
            <w:r>
              <w:t>- Facilitate group rhyming games that invite children to sing and perform actions linked with traditional nursery rhymes, enriching their understanding of rhythm through personal expression and multi-sensory engagement. Encourage them to interpret rhymes using their bodies, exploring meaningful movements that relate to the text, which can significantly aid memory retention and enliven the overall learning experience.</w:t>
            </w:r>
          </w:p>
          <w:p w14:paraId="6A5BD20D" w14:textId="77777777" w:rsidR="005B5BB9" w:rsidRDefault="0073548C">
            <w:r>
              <w:t>- Enable children to generate and sustain rhyming strings by suggesting additional rhyming words. This activity fosters playful creativity in language use, thereby enhancing phonemic awareness and enriching children's linguistic repertoire. Building upon this activity by encouraging children to illustrate their rhymes can create tangible representations of sounds, allowing them to share and discuss their drawings with peers.</w:t>
            </w:r>
          </w:p>
          <w:p w14:paraId="5F96295E" w14:textId="77777777" w:rsidR="005B5BB9" w:rsidRDefault="0073548C">
            <w:r>
              <w:lastRenderedPageBreak/>
              <w:t xml:space="preserve">- </w:t>
            </w:r>
            <w:proofErr w:type="spellStart"/>
            <w:r>
              <w:t>Organise</w:t>
            </w:r>
            <w:proofErr w:type="spellEnd"/>
            <w:r>
              <w:t xml:space="preserve"> tactile sorting activities where children identify and match rhyming objects during engaging play. This engaging experience encourages auditory skills to intertwine with visual recognition, effectively strengthening their understanding of phonetics. Accomplice this with visual representations and activities, such as creating a ‘rhyming wall’ that showcases rhyming pairs; this aids in embedding sound-object associations and fosters a deeper comprehension beyond auditory learning.</w:t>
            </w:r>
          </w:p>
        </w:tc>
      </w:tr>
      <w:tr w:rsidR="005B5BB9" w14:paraId="60417B7B"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75CE667D" w14:textId="77777777" w:rsidR="005B5BB9" w:rsidRDefault="0073548C">
            <w:r>
              <w:lastRenderedPageBreak/>
              <w:t>Aspect 5</w:t>
            </w:r>
          </w:p>
        </w:tc>
        <w:tc>
          <w:tcPr>
            <w:tcW w:w="1985" w:type="dxa"/>
            <w:tcBorders>
              <w:top w:val="single" w:sz="1" w:space="0" w:color="000000"/>
              <w:left w:val="single" w:sz="1" w:space="0" w:color="000000"/>
              <w:bottom w:val="single" w:sz="1" w:space="0" w:color="000000"/>
              <w:right w:val="single" w:sz="1" w:space="0" w:color="000000"/>
            </w:tcBorders>
            <w:noWrap/>
          </w:tcPr>
          <w:p w14:paraId="0A3ECF50" w14:textId="77777777" w:rsidR="005B5BB9" w:rsidRDefault="0073548C">
            <w:r>
              <w:t>Alliteration</w:t>
            </w:r>
          </w:p>
        </w:tc>
        <w:tc>
          <w:tcPr>
            <w:tcW w:w="10837" w:type="dxa"/>
            <w:tcBorders>
              <w:top w:val="single" w:sz="1" w:space="0" w:color="000000"/>
              <w:left w:val="single" w:sz="1" w:space="0" w:color="000000"/>
              <w:bottom w:val="single" w:sz="1" w:space="0" w:color="000000"/>
              <w:right w:val="single" w:sz="1" w:space="0" w:color="000000"/>
            </w:tcBorders>
            <w:noWrap/>
          </w:tcPr>
          <w:p w14:paraId="26A3D3F4" w14:textId="77777777" w:rsidR="005B5BB9" w:rsidRDefault="0073548C">
            <w:r>
              <w:t>- Guide children in exploring alliteration through storytelling, inviting them to suggest diverse alliterative words that enrich narrative experiences. This interactive partition aids in fostering phonetic awareness while allowing children to feel ownership of their language use. Tailoring storytelling sessions around everyday interests and incorporating their suggestions can significantly increase engagement and deepen connections with phonetic learning.</w:t>
            </w:r>
          </w:p>
          <w:p w14:paraId="760711B4" w14:textId="77777777" w:rsidR="005B5BB9" w:rsidRDefault="0073548C">
            <w:r>
              <w:t xml:space="preserve">- Encourage children to explore the initial sounds of various objects through engaging sorting or collaborative grouping activities, allowing them to enhance their sound discrimination while developing expressive vocabulary. </w:t>
            </w:r>
            <w:proofErr w:type="spellStart"/>
            <w:r>
              <w:t>Utilising</w:t>
            </w:r>
            <w:proofErr w:type="spellEnd"/>
            <w:r>
              <w:t xml:space="preserve"> tangible classroom objects or items brought from home to facilitate this exploration promotes a concrete understanding of sound relationships, allowing children to freely articulate and demonstrate their understanding of phonetic identities.</w:t>
            </w:r>
          </w:p>
          <w:p w14:paraId="083F0CF9" w14:textId="77777777" w:rsidR="005B5BB9" w:rsidRDefault="0073548C">
            <w:r>
              <w:t>- Stimulate creativity by guiding children to create alliterative sentences linked to their classmates’ names, reinforcing social bonds and fostering cooperation within the classroom. This playful approach to story creation invites them to contribute meaningfully while also solidifying their grasp of sound patterns. Capturing these stories in a shared group book can enable collective ownership of their phonetic explorations.</w:t>
            </w:r>
          </w:p>
          <w:p w14:paraId="75E15331" w14:textId="77777777" w:rsidR="005B5BB9" w:rsidRDefault="0073548C">
            <w:r>
              <w:lastRenderedPageBreak/>
              <w:t xml:space="preserve">- Set up tactile 'silly soup' games where children actively </w:t>
            </w:r>
            <w:proofErr w:type="spellStart"/>
            <w:r>
              <w:t>categorise</w:t>
            </w:r>
            <w:proofErr w:type="spellEnd"/>
            <w:r>
              <w:t xml:space="preserve"> objects based on their initial sounds. This dynamic activity seamlessly combines physical engagement with linguistic exploration, nurturing a love for sounds in a playful context. By inviting children to bring items from home or collecting visuals for display, educators can further enhance engagement with their learning experience.</w:t>
            </w:r>
          </w:p>
        </w:tc>
      </w:tr>
      <w:tr w:rsidR="005B5BB9" w14:paraId="58D7F450"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4B2B011D" w14:textId="77777777" w:rsidR="005B5BB9" w:rsidRDefault="0073548C">
            <w:r>
              <w:lastRenderedPageBreak/>
              <w:t>Aspect 6</w:t>
            </w:r>
          </w:p>
        </w:tc>
        <w:tc>
          <w:tcPr>
            <w:tcW w:w="1985" w:type="dxa"/>
            <w:tcBorders>
              <w:top w:val="single" w:sz="1" w:space="0" w:color="000000"/>
              <w:left w:val="single" w:sz="1" w:space="0" w:color="000000"/>
              <w:bottom w:val="single" w:sz="1" w:space="0" w:color="000000"/>
              <w:right w:val="single" w:sz="1" w:space="0" w:color="000000"/>
            </w:tcBorders>
            <w:noWrap/>
          </w:tcPr>
          <w:p w14:paraId="4BD690CC" w14:textId="77777777" w:rsidR="005B5BB9" w:rsidRDefault="0073548C">
            <w:r>
              <w:t>Voice sounds</w:t>
            </w:r>
          </w:p>
        </w:tc>
        <w:tc>
          <w:tcPr>
            <w:tcW w:w="10837" w:type="dxa"/>
            <w:tcBorders>
              <w:top w:val="single" w:sz="1" w:space="0" w:color="000000"/>
              <w:left w:val="single" w:sz="1" w:space="0" w:color="000000"/>
              <w:bottom w:val="single" w:sz="1" w:space="0" w:color="000000"/>
              <w:right w:val="single" w:sz="1" w:space="0" w:color="000000"/>
            </w:tcBorders>
            <w:noWrap/>
          </w:tcPr>
          <w:p w14:paraId="017DC518" w14:textId="77777777" w:rsidR="005B5BB9" w:rsidRDefault="0073548C">
            <w:r>
              <w:t xml:space="preserve">- Engage children in exercises where they experiment with their voices to explore various pitches, volumes, and tones to convey different emotions and messages effectively. </w:t>
            </w:r>
            <w:proofErr w:type="spellStart"/>
            <w:r>
              <w:t>Utilising</w:t>
            </w:r>
            <w:proofErr w:type="spellEnd"/>
            <w:r>
              <w:t xml:space="preserve"> a storytelling method that incorporates tonal variation can reinforce their understanding of vocal expression while enhancing a deeper recognition of how voice plays a crucial role in communication, leading to meaningful connections in inter-personal interactions.</w:t>
            </w:r>
          </w:p>
          <w:p w14:paraId="50FEDB2C" w14:textId="77777777" w:rsidR="005B5BB9" w:rsidRDefault="0073548C">
            <w:r>
              <w:t>- Facilitate imaginative play wherein children imitate distinct sounds, such as a clock ticking or different animal noises, stimulating engagement and reinforcing phonemic awareness through playful repetition. Introducing dynamics involved in sound imitation games, such as ‘sound charades,’ will create a safe environment for active listening, peer interaction, and spontaneous collaboration while infusing a joyful atmosphere into learning.</w:t>
            </w:r>
          </w:p>
          <w:p w14:paraId="5C2AFC54" w14:textId="77777777" w:rsidR="005B5BB9" w:rsidRDefault="0073548C">
            <w:r>
              <w:t>- Encourage descriptive vocabulary by guiding children to articulate their observations of different voice sounds using terms like long, short, loud, high, and low. This not only enhances their understanding of descriptive language but also empowers them to express their feelings and observations more precisely in varied contexts, positioning them well for effective communication. Pairing this practice with art—such as drawing or collage—can further enrich their engagement with vocal sounds.</w:t>
            </w:r>
          </w:p>
          <w:p w14:paraId="781F038B" w14:textId="77777777" w:rsidR="005B5BB9" w:rsidRDefault="0073548C">
            <w:r>
              <w:t xml:space="preserve">- Design activities where children create patterns with their voices, resulting in collaborative interpretation and experimentation with sound dynamics. Group exercises that allow them to compose songs or rhymes </w:t>
            </w:r>
            <w:r>
              <w:lastRenderedPageBreak/>
              <w:t>collaboratively can enrich their learning while cultivating a shared sense of creativity. Incorporating elements of technology, such as apps that promote sound exploration and vocal recordings, can further broaden their exposure to various sound experiences, enriching their overall learning environment.</w:t>
            </w:r>
          </w:p>
        </w:tc>
      </w:tr>
      <w:tr w:rsidR="005B5BB9" w14:paraId="05589D4C" w14:textId="77777777" w:rsidTr="0073548C">
        <w:tc>
          <w:tcPr>
            <w:tcW w:w="1133" w:type="dxa"/>
            <w:tcBorders>
              <w:top w:val="single" w:sz="1" w:space="0" w:color="000000"/>
              <w:left w:val="single" w:sz="1" w:space="0" w:color="000000"/>
              <w:bottom w:val="single" w:sz="1" w:space="0" w:color="000000"/>
              <w:right w:val="single" w:sz="1" w:space="0" w:color="000000"/>
            </w:tcBorders>
            <w:noWrap/>
          </w:tcPr>
          <w:p w14:paraId="6FC494F9" w14:textId="77777777" w:rsidR="005B5BB9" w:rsidRDefault="0073548C">
            <w:r>
              <w:lastRenderedPageBreak/>
              <w:t>Aspect 7</w:t>
            </w:r>
          </w:p>
        </w:tc>
        <w:tc>
          <w:tcPr>
            <w:tcW w:w="1985" w:type="dxa"/>
            <w:tcBorders>
              <w:top w:val="single" w:sz="1" w:space="0" w:color="000000"/>
              <w:left w:val="single" w:sz="1" w:space="0" w:color="000000"/>
              <w:bottom w:val="single" w:sz="1" w:space="0" w:color="000000"/>
              <w:right w:val="single" w:sz="1" w:space="0" w:color="000000"/>
            </w:tcBorders>
            <w:noWrap/>
          </w:tcPr>
          <w:p w14:paraId="63941495" w14:textId="77777777" w:rsidR="005B5BB9" w:rsidRDefault="0073548C">
            <w:r>
              <w:t>Oral blending and segmenting</w:t>
            </w:r>
          </w:p>
        </w:tc>
        <w:tc>
          <w:tcPr>
            <w:tcW w:w="10837" w:type="dxa"/>
            <w:tcBorders>
              <w:top w:val="single" w:sz="1" w:space="0" w:color="000000"/>
              <w:left w:val="single" w:sz="1" w:space="0" w:color="000000"/>
              <w:bottom w:val="single" w:sz="1" w:space="0" w:color="000000"/>
              <w:right w:val="single" w:sz="1" w:space="0" w:color="000000"/>
            </w:tcBorders>
            <w:noWrap/>
          </w:tcPr>
          <w:p w14:paraId="42E68958" w14:textId="77777777" w:rsidR="005B5BB9" w:rsidRDefault="0073548C">
            <w:r>
              <w:t xml:space="preserve">- Engage children in ‘sound talk’ activities, leading them to identify and articulate the phonemes present in spoken words. This practice lays down vital groundwork for later reading and writing skills development while reinforcing their ability to blend sounds together into meaningful linguistic units. </w:t>
            </w:r>
            <w:proofErr w:type="spellStart"/>
            <w:r>
              <w:t>Utilising</w:t>
            </w:r>
            <w:proofErr w:type="spellEnd"/>
            <w:r>
              <w:t xml:space="preserve"> engaging stories that spotlight phonemes can provide immersive auditory experiences that connect directly to the narrative content, enriching literacy development while fostering a love for reading.</w:t>
            </w:r>
          </w:p>
          <w:p w14:paraId="212FE06B" w14:textId="77777777" w:rsidR="005B5BB9" w:rsidRDefault="0073548C">
            <w:r>
              <w:t>- Foster blending skills through exercises where children sound out simple words using basic phonetic knowledge (like f-</w:t>
            </w:r>
            <w:proofErr w:type="spellStart"/>
            <w:r>
              <w:t>i</w:t>
            </w:r>
            <w:proofErr w:type="spellEnd"/>
            <w:r>
              <w:t>-</w:t>
            </w:r>
            <w:proofErr w:type="spellStart"/>
            <w:r>
              <w:t>sh</w:t>
            </w:r>
            <w:proofErr w:type="spellEnd"/>
            <w:r>
              <w:t>, s-a-t). This practice effectively connects spoken sounds with printed representations, cultivating early reading independence. Pair this with visually engaging phonetic games that incorporate picture cards and thematic contexts to establish connections between sounds and meanings, thereby enriching the overall learning experience.</w:t>
            </w:r>
          </w:p>
          <w:p w14:paraId="44C12E7B" w14:textId="77777777" w:rsidR="005B5BB9" w:rsidRDefault="0073548C">
            <w:r>
              <w:t>- Incorporate rhythmical clapping games where children clap out CVC words and sound out the individual phonemes, thus expanding their phonetic understanding while reinforcing memory of sound patterns. Tactile components, such as matching written words or pictures to their clapped versions, can solidify their comprehension, creating a multisensory approach to learning that enhances retention.</w:t>
            </w:r>
          </w:p>
          <w:p w14:paraId="4220F4B5" w14:textId="77777777" w:rsidR="005B5BB9" w:rsidRDefault="0073548C">
            <w:r>
              <w:t xml:space="preserve">- Integrate engaging games like 'I spy,' which reinforce blending and segmenting skills through playful exploration and interaction. Frame this learning within a broader context of vocabulary building and </w:t>
            </w:r>
            <w:proofErr w:type="spellStart"/>
            <w:r>
              <w:t>organised</w:t>
            </w:r>
            <w:proofErr w:type="spellEnd"/>
            <w:r>
              <w:t xml:space="preserve"> storytelling, ensuring the learning remains enjoyable and impactful as children build a strong foundation in literacy. Introducing technology, such as interactive phonics apps that provide immediate </w:t>
            </w:r>
            <w:r>
              <w:lastRenderedPageBreak/>
              <w:t>feedback, can create dynamic learning experiences that reinforce essential phonetic skills while exciting their interest in literacy mechanics.</w:t>
            </w:r>
          </w:p>
        </w:tc>
      </w:tr>
    </w:tbl>
    <w:p w14:paraId="29F5DB6C" w14:textId="77777777" w:rsidR="0073548C" w:rsidRDefault="0073548C"/>
    <w:p w14:paraId="33972269" w14:textId="607CAC96" w:rsidR="005B5BB9" w:rsidRDefault="0073548C">
      <w:r>
        <w:t>By systematically implementing the above aspects throughout the academic year, teachers at Ellergreen Nursery School will ensure children cultivate essential auditory discrimination skills that lay the groundwork for further phonics development. This ongoing reflective practice of revisiting activities across terms is pivotal for embedding learning, allowing children to cultivate both confidence and understanding of phonics as they evolve in their educational journey. With thoughtful, comprehensive practice</w:t>
      </w:r>
      <w:r>
        <w:t>, children will emerge not only better prepared for reading and writing but also equipped with the essential skills needed to decode words, understand texts, and ultimately enjoy the enriching world of literacy. This thorough approach to Phase One phonics not only nurtures critical early reading skills but also fosters a lifelong love of language and communication that will serve children well throughout their lives as they navigate through a world rich with information and opportunity.</w:t>
      </w:r>
    </w:p>
    <w:sectPr w:rsidR="005B5BB9" w:rsidSect="0073548C">
      <w:pgSz w:w="16837" w:h="11905" w:orient="landscape"/>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BB9"/>
    <w:rsid w:val="005B5BB9"/>
    <w:rsid w:val="0073548C"/>
    <w:rsid w:val="00B90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D86F18"/>
  <w15:docId w15:val="{50C30695-B1A4-4AA2-832B-022278E0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2610</Words>
  <Characters>14879</Characters>
  <Application>Microsoft Office Word</Application>
  <DocSecurity>0</DocSecurity>
  <Lines>123</Lines>
  <Paragraphs>34</Paragraphs>
  <ScaleCrop>false</ScaleCrop>
  <Manager/>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Feeney</dc:creator>
  <cp:keywords/>
  <dc:description/>
  <cp:lastModifiedBy>Kerry Feeney</cp:lastModifiedBy>
  <cp:revision>2</cp:revision>
  <dcterms:created xsi:type="dcterms:W3CDTF">2024-11-18T16:34:00Z</dcterms:created>
  <dcterms:modified xsi:type="dcterms:W3CDTF">2024-11-18T16:34:00Z</dcterms:modified>
  <cp:category/>
</cp:coreProperties>
</file>